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FEB0" w14:textId="77777777" w:rsidR="00A7067D" w:rsidRDefault="00A7067D">
      <w:pPr>
        <w:spacing w:before="99" w:after="99" w:line="240" w:lineRule="exact"/>
        <w:rPr>
          <w:sz w:val="19"/>
          <w:szCs w:val="19"/>
        </w:rPr>
      </w:pPr>
    </w:p>
    <w:p w14:paraId="75D57DAD" w14:textId="77777777" w:rsidR="00A7067D" w:rsidRDefault="00A7067D">
      <w:pPr>
        <w:rPr>
          <w:sz w:val="2"/>
          <w:szCs w:val="2"/>
        </w:rPr>
        <w:sectPr w:rsidR="00A7067D">
          <w:headerReference w:type="default" r:id="rId7"/>
          <w:footerReference w:type="default" r:id="rId8"/>
          <w:pgSz w:w="11909" w:h="16838"/>
          <w:pgMar w:top="1385" w:right="0" w:bottom="1395" w:left="0" w:header="0" w:footer="3" w:gutter="0"/>
          <w:cols w:space="720"/>
          <w:noEndnote/>
          <w:docGrid w:linePitch="360"/>
        </w:sectPr>
      </w:pPr>
    </w:p>
    <w:p w14:paraId="1A434A97" w14:textId="77777777" w:rsidR="00A7067D" w:rsidRDefault="00D65BC6">
      <w:pPr>
        <w:pStyle w:val="Style15"/>
        <w:shd w:val="clear" w:color="auto" w:fill="auto"/>
        <w:spacing w:after="183"/>
        <w:ind w:firstLine="0"/>
      </w:pPr>
      <w:r>
        <w:t xml:space="preserve">Prokázání souladu výrobního modulu A2 s požadavky </w:t>
      </w:r>
      <w:proofErr w:type="spellStart"/>
      <w:r>
        <w:t>RfG</w:t>
      </w:r>
      <w:proofErr w:type="spellEnd"/>
      <w:r>
        <w:t xml:space="preserve"> dle článku 40 nařízení komise (EU) 2016/631</w:t>
      </w:r>
    </w:p>
    <w:p w14:paraId="22913655" w14:textId="77777777" w:rsidR="00A7067D" w:rsidRDefault="00D65BC6">
      <w:pPr>
        <w:pStyle w:val="Style9"/>
        <w:shd w:val="clear" w:color="auto" w:fill="auto"/>
        <w:spacing w:before="0"/>
        <w:ind w:firstLine="0"/>
      </w:pPr>
      <w:r>
        <w:t xml:space="preserve">Výrobní modul (dále jen ,,VM“) je možno připojit k lokální distribuční soustavě (dále jen ,,LDS“) za podmínky ověření souladu s následujícími požadavky, které jsou podrobně popsané a specifikované v Pravidlech provozování distribučních soustav (ČEZ Distribuce, a.s., EG.D, a.s. a </w:t>
      </w:r>
      <w:proofErr w:type="spellStart"/>
      <w:r>
        <w:t>PREdistribuce</w:t>
      </w:r>
      <w:proofErr w:type="spellEnd"/>
      <w:r>
        <w:t>, a.s.) - Příloha č. 4 (dále jen „Přílohy č. 4 PPDS“):</w:t>
      </w:r>
    </w:p>
    <w:p w14:paraId="37DE2C8D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>
        <w:t xml:space="preserve">Frekvenční stabilita (či. 9.1.1. Přílohy č. 4 PPDS; či. 13 </w:t>
      </w:r>
      <w:proofErr w:type="spellStart"/>
      <w:r>
        <w:t>odst</w:t>
      </w:r>
      <w:proofErr w:type="spellEnd"/>
      <w:r>
        <w:t xml:space="preserve"> 1 </w:t>
      </w:r>
      <w:proofErr w:type="spellStart"/>
      <w:r>
        <w:t>RfG</w:t>
      </w:r>
      <w:proofErr w:type="spellEnd"/>
      <w:r>
        <w:t>)</w:t>
      </w:r>
    </w:p>
    <w:p w14:paraId="615FF69C" w14:textId="77777777" w:rsidR="00A7067D" w:rsidRDefault="00D65BC6">
      <w:pPr>
        <w:pStyle w:val="Style9"/>
        <w:shd w:val="clear" w:color="auto" w:fill="auto"/>
        <w:spacing w:before="0" w:after="0"/>
        <w:ind w:left="260" w:firstLine="0"/>
      </w:pPr>
      <w:r>
        <w:t>Výrobní modul musí zůstat připojen a být schopen pracovat v níže specifikovaném frekvenčním rozsahu. Výrobní modul musí také odolat časovým změnám frekvence sítě (</w:t>
      </w:r>
      <w:proofErr w:type="spellStart"/>
      <w:r>
        <w:t>RoCoF</w:t>
      </w:r>
      <w:proofErr w:type="spellEnd"/>
      <w:r>
        <w:t>) do hodnoty ± 2 Hz/s.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5789"/>
      </w:tblGrid>
      <w:tr w:rsidR="00A7067D" w14:paraId="0477ADB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84B343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24" w:lineRule="exact"/>
              <w:ind w:left="160" w:firstLine="0"/>
              <w:jc w:val="left"/>
            </w:pPr>
            <w:r>
              <w:rPr>
                <w:rStyle w:val="CharStyle19"/>
              </w:rPr>
              <w:t>Rozsah frekvence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DDDD18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24" w:lineRule="exact"/>
              <w:ind w:left="1340" w:firstLine="0"/>
              <w:jc w:val="left"/>
            </w:pPr>
            <w:r>
              <w:rPr>
                <w:rStyle w:val="CharStyle19"/>
              </w:rPr>
              <w:t>Doba trvání</w:t>
            </w:r>
          </w:p>
        </w:tc>
      </w:tr>
      <w:tr w:rsidR="00A7067D" w14:paraId="5FC2A7E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F668B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0"/>
              </w:rPr>
              <w:t>47,5-48,5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DDD61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0"/>
              </w:rPr>
              <w:t>30 minut</w:t>
            </w:r>
          </w:p>
        </w:tc>
      </w:tr>
      <w:tr w:rsidR="00A7067D" w14:paraId="5734ACA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AF542E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0"/>
              </w:rPr>
              <w:t>48,5-49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3D42B3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0"/>
              </w:rPr>
              <w:t>90 minut</w:t>
            </w:r>
          </w:p>
        </w:tc>
      </w:tr>
      <w:tr w:rsidR="00A7067D" w14:paraId="1B800D8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CFBA5D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0"/>
              </w:rPr>
              <w:t>49-51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D50C3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0"/>
              </w:rPr>
              <w:t>neomezeně</w:t>
            </w:r>
          </w:p>
        </w:tc>
      </w:tr>
      <w:tr w:rsidR="00A7067D" w14:paraId="161F7FD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4A35B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0"/>
              </w:rPr>
              <w:t>51 -51,5 Hz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4B9853" w14:textId="77777777" w:rsidR="00A7067D" w:rsidRDefault="00D65BC6">
            <w:pPr>
              <w:pStyle w:val="Style9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0"/>
              </w:rPr>
              <w:t>30 minut</w:t>
            </w:r>
          </w:p>
        </w:tc>
      </w:tr>
    </w:tbl>
    <w:p w14:paraId="517762B2" w14:textId="77777777" w:rsidR="00A7067D" w:rsidRDefault="00A7067D">
      <w:pPr>
        <w:framePr w:w="9139" w:wrap="notBeside" w:vAnchor="text" w:hAnchor="text" w:xAlign="center" w:y="1"/>
        <w:rPr>
          <w:sz w:val="2"/>
          <w:szCs w:val="2"/>
        </w:rPr>
      </w:pPr>
    </w:p>
    <w:p w14:paraId="6C122479" w14:textId="77777777" w:rsidR="00A7067D" w:rsidRDefault="00A7067D">
      <w:pPr>
        <w:rPr>
          <w:sz w:val="2"/>
          <w:szCs w:val="2"/>
        </w:rPr>
      </w:pPr>
    </w:p>
    <w:p w14:paraId="0F0E1FAF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86"/>
        </w:tabs>
        <w:spacing w:before="393"/>
        <w:ind w:firstLine="0"/>
      </w:pPr>
      <w:r>
        <w:t xml:space="preserve">Snížení činného výkonu při </w:t>
      </w:r>
      <w:proofErr w:type="spellStart"/>
      <w:r>
        <w:t>nadfrekvenci</w:t>
      </w:r>
      <w:proofErr w:type="spellEnd"/>
      <w:r>
        <w:t xml:space="preserve"> (čí. 9.3.1. Přílohy č. 4 PPDS; čí. 13 odst. 2 </w:t>
      </w:r>
      <w:proofErr w:type="spellStart"/>
      <w:r>
        <w:t>RfG</w:t>
      </w:r>
      <w:proofErr w:type="spellEnd"/>
      <w:r>
        <w:t>)</w:t>
      </w:r>
    </w:p>
    <w:p w14:paraId="2BE23B71" w14:textId="77777777" w:rsidR="00A7067D" w:rsidRDefault="00D65BC6">
      <w:pPr>
        <w:pStyle w:val="Style9"/>
        <w:shd w:val="clear" w:color="auto" w:fill="auto"/>
        <w:spacing w:before="0" w:after="0"/>
        <w:ind w:left="260" w:firstLine="0"/>
      </w:pPr>
      <w:r>
        <w:t xml:space="preserve">VM je schopen aktivovat poskytování frekvenční odezvy činného výkonu podle čl. 9.3.1. Přílohy č. 4 PPDS při rozpětí prahové hodnoty frekvence mezi 50,05 - 50,5 Hz a při nastavení statiky mezi 2 % </w:t>
      </w:r>
      <w:r>
        <w:rPr>
          <w:rStyle w:val="CharStyle21"/>
        </w:rPr>
        <w:t>-</w:t>
      </w:r>
      <w:r>
        <w:rPr>
          <w:rStyle w:val="CharStyle22"/>
        </w:rPr>
        <w:t>12</w:t>
      </w:r>
      <w:r>
        <w:rPr>
          <w:rStyle w:val="CharStyle21"/>
        </w:rPr>
        <w:t>%.</w:t>
      </w:r>
    </w:p>
    <w:p w14:paraId="210F20BD" w14:textId="77777777" w:rsidR="00A7067D" w:rsidRDefault="00D65BC6">
      <w:pPr>
        <w:pStyle w:val="Style9"/>
        <w:shd w:val="clear" w:color="auto" w:fill="auto"/>
        <w:spacing w:before="0" w:after="440"/>
        <w:ind w:left="260" w:firstLine="0"/>
      </w:pPr>
      <w:r>
        <w:t>Doporučené nastavení: Výchozí prahová frekvence je 50,2 Hz, statika s2 = 5 %.</w:t>
      </w:r>
    </w:p>
    <w:p w14:paraId="5C67BF76" w14:textId="77777777" w:rsidR="00A7067D" w:rsidRDefault="00D65BC6">
      <w:pPr>
        <w:pStyle w:val="Style9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280"/>
        <w:ind w:left="260" w:hanging="260"/>
      </w:pPr>
      <w:r>
        <w:rPr>
          <w:rStyle w:val="CharStyle23"/>
        </w:rPr>
        <w:t xml:space="preserve">Snížení činného výkonu při </w:t>
      </w:r>
      <w:proofErr w:type="spellStart"/>
      <w:r>
        <w:rPr>
          <w:rStyle w:val="CharStyle23"/>
        </w:rPr>
        <w:t>podfrekvenci</w:t>
      </w:r>
      <w:proofErr w:type="spellEnd"/>
      <w:r>
        <w:rPr>
          <w:rStyle w:val="CharStyle23"/>
        </w:rPr>
        <w:t xml:space="preserve"> (čl. 9.3.2. Přílohy č. 4 PPDS; čl. 13 odst. 4a 5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) </w:t>
      </w:r>
      <w:r>
        <w:t xml:space="preserve">VM je schopen udržet dodávku činného výkonu při poklesu frekvence na hodnotě jako při provozu odpovídající frekvenci v soustavě 50 Hz. V případě, že technologie VM neumožňuje udržet činný výkon na výstupu VM na hodnotě P jako při 50 Hz, je dovolené pod 49 Hz pokles o 2 </w:t>
      </w:r>
      <w:r>
        <w:rPr>
          <w:rStyle w:val="CharStyle23"/>
        </w:rPr>
        <w:t>%</w:t>
      </w:r>
      <w:r>
        <w:t xml:space="preserve"> maximální kapacity při 50 Hz na každý pokles frekvence o 1 Hz. Pokud výrobní modul není schopen tento požadavek plnit, musí to být doloženo provozovateli distribuční soustav</w:t>
      </w:r>
      <w:r>
        <w:t>y technickou studií.</w:t>
      </w:r>
    </w:p>
    <w:p w14:paraId="1328F2AD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91"/>
        </w:tabs>
        <w:spacing w:before="0"/>
        <w:ind w:firstLine="0"/>
      </w:pPr>
      <w:r>
        <w:t xml:space="preserve">Logický modul (čl. 5.1. Přílohy č. 4 PPDS; čl. 13 odst. 6 </w:t>
      </w:r>
      <w:proofErr w:type="spellStart"/>
      <w:r>
        <w:t>RfG</w:t>
      </w:r>
      <w:proofErr w:type="spellEnd"/>
      <w:r>
        <w:t>)</w:t>
      </w:r>
    </w:p>
    <w:p w14:paraId="24F2A467" w14:textId="77777777" w:rsidR="00A7067D" w:rsidRDefault="00D65BC6">
      <w:pPr>
        <w:pStyle w:val="Style9"/>
        <w:shd w:val="clear" w:color="auto" w:fill="auto"/>
        <w:spacing w:before="0" w:after="436"/>
        <w:ind w:left="260" w:firstLine="0"/>
      </w:pPr>
      <w:r>
        <w:t xml:space="preserve">VM je vybaven logickým rozhraním (vstupním portem) pro přerušení dodávky činného výkonu, který umožňuje do pěti sekund po obdržení pokynu na </w:t>
      </w:r>
      <w:r>
        <w:t>tento port přerušit dodávku činného výkonu na výstupu.</w:t>
      </w:r>
    </w:p>
    <w:p w14:paraId="0B99B6D3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firstLine="0"/>
      </w:pPr>
      <w:r>
        <w:t>Automatické opětovné připojení VM (čl. 9.5. Přílohy č. 4 PPDS; čl. 13 odst.</w:t>
      </w:r>
      <w:r>
        <w:rPr>
          <w:rStyle w:val="CharStyle24"/>
        </w:rPr>
        <w:t xml:space="preserve"> 7 </w:t>
      </w:r>
      <w:proofErr w:type="spellStart"/>
      <w:r>
        <w:t>RfG</w:t>
      </w:r>
      <w:proofErr w:type="spellEnd"/>
    </w:p>
    <w:p w14:paraId="230760FF" w14:textId="77777777" w:rsidR="00A7067D" w:rsidRDefault="00D65BC6">
      <w:pPr>
        <w:pStyle w:val="Style9"/>
        <w:shd w:val="clear" w:color="auto" w:fill="auto"/>
        <w:spacing w:before="0" w:after="181" w:line="250" w:lineRule="exact"/>
        <w:ind w:left="260" w:firstLine="0"/>
      </w:pPr>
      <w:r>
        <w:t>Výrobní modul odpojený od sítě z důvodu odchylky napětí či frekvence bude automaticky připojen k LDS pouze po splnění následujících kritérií:</w:t>
      </w:r>
    </w:p>
    <w:p w14:paraId="6D20CDC8" w14:textId="77777777" w:rsidR="00A7067D" w:rsidRDefault="00D65BC6">
      <w:pPr>
        <w:pStyle w:val="Style9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24" w:lineRule="exact"/>
        <w:ind w:left="260" w:firstLine="0"/>
      </w:pPr>
      <w:r>
        <w:t>Napětí a frekvence jsou po dobu 300 s (5 min) v mezích:</w:t>
      </w:r>
    </w:p>
    <w:p w14:paraId="1E8365DF" w14:textId="77777777" w:rsidR="00A7067D" w:rsidRDefault="00D65BC6">
      <w:pPr>
        <w:pStyle w:val="Style9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40" w:lineRule="exact"/>
        <w:ind w:left="260" w:firstLine="0"/>
      </w:pPr>
      <w:r>
        <w:t>napětí - 85 - 110 % jmenovité hodnoty</w:t>
      </w:r>
    </w:p>
    <w:p w14:paraId="31E7EB5D" w14:textId="77777777" w:rsidR="00A7067D" w:rsidRDefault="00D65BC6">
      <w:pPr>
        <w:pStyle w:val="Style9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exact"/>
        <w:ind w:left="260" w:firstLine="0"/>
      </w:pPr>
      <w:r>
        <w:t>frekvence - 47,5 - 50,05 Hz</w:t>
      </w:r>
    </w:p>
    <w:p w14:paraId="293D0FF9" w14:textId="77777777" w:rsidR="00A7067D" w:rsidRDefault="00D65BC6">
      <w:pPr>
        <w:pStyle w:val="Style9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40" w:lineRule="exact"/>
        <w:ind w:left="600" w:right="240" w:hanging="340"/>
      </w:pPr>
      <w:r>
        <w:t xml:space="preserve">Postupné najetí na výkon od nuly s gradientem maximálně 10 % </w:t>
      </w:r>
      <w:proofErr w:type="spellStart"/>
      <w:r>
        <w:t>Pn</w:t>
      </w:r>
      <w:proofErr w:type="spellEnd"/>
      <w:r>
        <w:t xml:space="preserve"> za minutu. Není-li výrobna elektřiny </w:t>
      </w:r>
      <w:r>
        <w:t>schopna postupného najetí na výkon (dle bodu 5.2), připojí se výrobna elektřiny zpět k LDS v intervalu 0-20 min, dle PDS; při pobíhající kontrole mezí napětí a frekvence dle bodu 5.1.</w:t>
      </w:r>
    </w:p>
    <w:p w14:paraId="269A9E59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40" w:lineRule="exact"/>
        <w:ind w:firstLine="0"/>
      </w:pPr>
      <w:r>
        <w:t xml:space="preserve">Rozhraní pro snížení činného výkonu VM čl. 5.1 Příloha č. 4 PPDS; čl. 14 odst. 2 </w:t>
      </w:r>
      <w:proofErr w:type="spellStart"/>
      <w:r>
        <w:t>RfG</w:t>
      </w:r>
      <w:proofErr w:type="spellEnd"/>
    </w:p>
    <w:p w14:paraId="14B97C79" w14:textId="77777777" w:rsidR="00A7067D" w:rsidRDefault="00D65BC6">
      <w:pPr>
        <w:pStyle w:val="Style9"/>
        <w:shd w:val="clear" w:color="auto" w:fill="auto"/>
        <w:tabs>
          <w:tab w:val="left" w:pos="2881"/>
        </w:tabs>
        <w:spacing w:before="0" w:after="0" w:line="240" w:lineRule="exact"/>
        <w:ind w:left="260" w:firstLine="0"/>
      </w:pPr>
      <w:r>
        <w:t>VM je vybaven rozhraním (vstupním portem) pro regulaci dodávky činného výkonu, který umožňuje po obdržení pokynu</w:t>
      </w:r>
      <w:r>
        <w:tab/>
        <w:t>na tento port snížit dodávku činného výkonu na výstupu. VM musí zareagovat s přípustnou</w:t>
      </w:r>
    </w:p>
    <w:p w14:paraId="2AE8F404" w14:textId="77777777" w:rsidR="00A7067D" w:rsidRDefault="00D65BC6">
      <w:pPr>
        <w:pStyle w:val="Style9"/>
        <w:shd w:val="clear" w:color="auto" w:fill="auto"/>
        <w:spacing w:before="0" w:after="424" w:line="250" w:lineRule="exact"/>
        <w:ind w:left="260" w:firstLine="0"/>
      </w:pPr>
      <w:r>
        <w:t xml:space="preserve">odchylkou ±5 % u synchronních VM do 5 minut, u nesynchronních VM do 1 minuty, s gradientem </w:t>
      </w:r>
      <w:r>
        <w:lastRenderedPageBreak/>
        <w:t xml:space="preserve">změny v rozmezí 2 až 40 % </w:t>
      </w:r>
      <w:proofErr w:type="spellStart"/>
      <w:r>
        <w:t>Pn</w:t>
      </w:r>
      <w:proofErr w:type="spellEnd"/>
      <w:r>
        <w:t>/minutu.</w:t>
      </w:r>
    </w:p>
    <w:p w14:paraId="45E610EC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firstLine="0"/>
      </w:pPr>
      <w:r>
        <w:t xml:space="preserve">Překlenutí poklesu napětí - FRT (č. 9.2.2.1. Příloha č. 4 PPDS; čl. 14 odst. 3 </w:t>
      </w:r>
      <w:proofErr w:type="spellStart"/>
      <w:r>
        <w:t>RfG</w:t>
      </w:r>
      <w:proofErr w:type="spellEnd"/>
      <w:r>
        <w:t>)</w:t>
      </w:r>
    </w:p>
    <w:p w14:paraId="262414EA" w14:textId="77777777" w:rsidR="00A7067D" w:rsidRDefault="00D65BC6">
      <w:pPr>
        <w:pStyle w:val="Style9"/>
        <w:shd w:val="clear" w:color="auto" w:fill="auto"/>
        <w:spacing w:before="0" w:after="0"/>
        <w:ind w:firstLine="0"/>
      </w:pPr>
      <w:r>
        <w:t>VM se nesmí odpojit od soustavy při poklesu do hodnot napětí definovaném FRT křivkou s parametry podle uvedené tabulky. V případě, že se napětí bude nacházet pod definovanou křivkou, tak se může výrobní modul odpojit.</w:t>
      </w:r>
    </w:p>
    <w:p w14:paraId="51430D0E" w14:textId="77777777" w:rsidR="00A7067D" w:rsidRDefault="00D65BC6">
      <w:pPr>
        <w:framePr w:h="2698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"Z:\\OZE - FVE\\Formuláře pro žadatele 2024\\media\\image1.jpeg" \* MERGEFORMATINET</w:instrText>
      </w:r>
      <w:r>
        <w:instrText xml:space="preserve"> </w:instrText>
      </w:r>
      <w:r>
        <w:fldChar w:fldCharType="separate"/>
      </w:r>
      <w:r>
        <w:pict w14:anchorId="3AA95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35pt">
            <v:imagedata r:id="rId9" r:href="rId10"/>
          </v:shape>
        </w:pict>
      </w:r>
      <w:r>
        <w:fldChar w:fldCharType="end"/>
      </w:r>
    </w:p>
    <w:p w14:paraId="1458A6D5" w14:textId="77777777" w:rsidR="00A7067D" w:rsidRDefault="00A7067D">
      <w:pPr>
        <w:rPr>
          <w:sz w:val="2"/>
          <w:szCs w:val="2"/>
        </w:rPr>
      </w:pPr>
    </w:p>
    <w:p w14:paraId="2804FD91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284"/>
        </w:tabs>
        <w:spacing w:before="133"/>
        <w:ind w:firstLine="0"/>
      </w:pPr>
      <w:r>
        <w:t xml:space="preserve">Komunikace a výměna informací (čl. 5.1 Příloha č. 4 PPDS; čl. 14 odst. 5 písm. d) </w:t>
      </w:r>
      <w:proofErr w:type="spellStart"/>
      <w:r>
        <w:t>RfG</w:t>
      </w:r>
      <w:proofErr w:type="spellEnd"/>
    </w:p>
    <w:p w14:paraId="62806264" w14:textId="77777777" w:rsidR="00A7067D" w:rsidRDefault="00D65BC6">
      <w:pPr>
        <w:pStyle w:val="Style9"/>
        <w:shd w:val="clear" w:color="auto" w:fill="auto"/>
        <w:spacing w:before="0" w:after="176"/>
        <w:ind w:firstLine="0"/>
        <w:jc w:val="left"/>
      </w:pPr>
      <w:r>
        <w:t>VM je vybaven rozhraním pro výměnu informací v reálném čase nebo pravidelně s časovým razítkem. Po propojení rozhraní pro výměnu informací s řídícím systémem PDS je ověřena výměna informací ve stanoveném rozsahu dle PDS v souladu s Přílohou 4 PPDS.</w:t>
      </w:r>
    </w:p>
    <w:p w14:paraId="724B7170" w14:textId="77777777" w:rsidR="00A7067D" w:rsidRDefault="00D65BC6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84" w:line="250" w:lineRule="exact"/>
        <w:ind w:firstLine="0"/>
        <w:jc w:val="left"/>
      </w:pPr>
      <w:r>
        <w:rPr>
          <w:rStyle w:val="CharStyle23"/>
        </w:rPr>
        <w:t xml:space="preserve">Dodávka jalového výkonu u nesynchronních VM (čl. 20 odst. 2 písm. a)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</w:t>
      </w:r>
      <w:r>
        <w:t>Nesynchronní VM má schopnost dodávky jalového výkonu dle požadavku v technických podmínkách připojení.</w:t>
      </w:r>
    </w:p>
    <w:p w14:paraId="534BD118" w14:textId="77777777" w:rsidR="00A7067D" w:rsidRDefault="00D65BC6">
      <w:pPr>
        <w:pStyle w:val="Style17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260" w:hanging="260"/>
        <w:jc w:val="left"/>
      </w:pPr>
      <w:r>
        <w:t xml:space="preserve">Obnova činného výkonu po poruše u nesynchronních VM čl. 20 odst. 3 </w:t>
      </w:r>
      <w:proofErr w:type="spellStart"/>
      <w:r>
        <w:t>RfG</w:t>
      </w:r>
      <w:proofErr w:type="spellEnd"/>
      <w:r>
        <w:t xml:space="preserve"> a čl. 9.2.2.4 Přílohy 4 PPDS</w:t>
      </w:r>
    </w:p>
    <w:p w14:paraId="1EA165DB" w14:textId="77777777" w:rsidR="00A7067D" w:rsidRDefault="00D65BC6">
      <w:pPr>
        <w:pStyle w:val="Style9"/>
        <w:shd w:val="clear" w:color="auto" w:fill="auto"/>
        <w:spacing w:before="0" w:after="0"/>
        <w:ind w:firstLine="0"/>
        <w:jc w:val="left"/>
      </w:pPr>
      <w:r>
        <w:t>VM musí být schopen obnovit činný výkon po poruše v soustavě (přechodný jev), která nevedla k odpojení, na hodnotu před poruchou (nebo na maximální hodnotu s ohledem na dostupný zdroj energie) s dovolenou odchylkou +/-5 % do 1 sekundy po dosažení 85 % napětí v místě připojení. Pokud výrobní modul dodává během poruchy prioritně jalový výkon, obnova činného výkonu se zahájí po dosažení 95 % napětí v místě připojení, a ukončí se do 1 s.</w:t>
      </w:r>
      <w:r>
        <w:br w:type="page"/>
      </w:r>
    </w:p>
    <w:p w14:paraId="30CD37C2" w14:textId="77777777" w:rsidR="00A7067D" w:rsidRDefault="00D65BC6">
      <w:pPr>
        <w:pStyle w:val="Style9"/>
        <w:shd w:val="clear" w:color="auto" w:fill="auto"/>
        <w:spacing w:before="0" w:after="181" w:line="250" w:lineRule="exact"/>
        <w:ind w:firstLine="0"/>
        <w:jc w:val="left"/>
      </w:pPr>
      <w:r>
        <w:lastRenderedPageBreak/>
        <w:pict w14:anchorId="0E431FD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.45pt;margin-top:-264.5pt;width:444.2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5400"/>
                  </w:tblGrid>
                  <w:tr w:rsidR="00A7067D" w14:paraId="64FDC3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3485" w:type="dxa"/>
                        <w:shd w:val="clear" w:color="auto" w:fill="FFFFFF"/>
                      </w:tcPr>
                      <w:p w14:paraId="293518FA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11"/>
                          </w:rPr>
                          <w:t>Dodavatel výrobny: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/>
                      </w:tcPr>
                      <w:p w14:paraId="750BE930" w14:textId="77777777" w:rsidR="00A7067D" w:rsidRDefault="00A706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067D" w14:paraId="44EEDC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4"/>
                      <w:jc w:val="center"/>
                    </w:trPr>
                    <w:tc>
                      <w:tcPr>
                        <w:tcW w:w="3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3D64A2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11"/>
                          </w:rPr>
                          <w:t>Adresa výrobny: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4A997B" w14:textId="77777777" w:rsidR="00A7067D" w:rsidRDefault="00A706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067D" w14:paraId="089972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3"/>
                      <w:jc w:val="center"/>
                    </w:trPr>
                    <w:tc>
                      <w:tcPr>
                        <w:tcW w:w="88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92B0E8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11"/>
                          </w:rPr>
                          <w:t>Výrobní modul*:</w:t>
                        </w:r>
                      </w:p>
                    </w:tc>
                  </w:tr>
                  <w:tr w:rsidR="00A7067D" w14:paraId="4B764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3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C67CCA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Typ střídače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ADFAAB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left="1520"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Typ panelů FVE</w:t>
                        </w:r>
                      </w:p>
                    </w:tc>
                  </w:tr>
                  <w:tr w:rsidR="00A7067D" w14:paraId="2AD95C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3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C89F7C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Výrobce střídače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9B109D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left="1520"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 xml:space="preserve">Výrobce </w:t>
                        </w:r>
                        <w:r>
                          <w:rPr>
                            <w:rStyle w:val="CharStyle12"/>
                          </w:rPr>
                          <w:t>panelů FVE</w:t>
                        </w:r>
                      </w:p>
                    </w:tc>
                  </w:tr>
                  <w:tr w:rsidR="00A7067D" w14:paraId="0291AA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3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C0A7CC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Instalovaný výkon střídače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F232BF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left="1520"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Instalovaný výkon panelů FVE</w:t>
                        </w:r>
                      </w:p>
                    </w:tc>
                  </w:tr>
                  <w:tr w:rsidR="00A7067D" w14:paraId="1AC5A5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382DD9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Počet střídačů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43955B" w14:textId="77777777" w:rsidR="00A7067D" w:rsidRDefault="00D65BC6">
                        <w:pPr>
                          <w:pStyle w:val="Style9"/>
                          <w:shd w:val="clear" w:color="auto" w:fill="auto"/>
                          <w:spacing w:before="0" w:after="0" w:line="178" w:lineRule="exact"/>
                          <w:ind w:left="1520" w:firstLine="0"/>
                          <w:jc w:val="left"/>
                        </w:pPr>
                        <w:r>
                          <w:rPr>
                            <w:rStyle w:val="CharStyle12"/>
                          </w:rPr>
                          <w:t>Počet panelů FVE</w:t>
                        </w:r>
                      </w:p>
                    </w:tc>
                  </w:tr>
                </w:tbl>
                <w:p w14:paraId="2B66C55F" w14:textId="77777777" w:rsidR="00A7067D" w:rsidRDefault="00D65BC6">
                  <w:pPr>
                    <w:pStyle w:val="Style7"/>
                    <w:shd w:val="clear" w:color="auto" w:fill="auto"/>
                  </w:pPr>
                  <w:r>
                    <w:t>*V případě více VM uveďte jejich seznam a specifikace na samostatné příloze.</w:t>
                  </w:r>
                </w:p>
                <w:p w14:paraId="20AE9166" w14:textId="77777777" w:rsidR="00A7067D" w:rsidRDefault="00A706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Dodavatel výrobny potvrzuje, že výrobní modul splňuje parametry v </w:t>
      </w:r>
      <w:r>
        <w:t>bodech 1 až 5 a dále potvrzuje, že charakteristiky výše uvedené výrobny jsou odzkoušeny a nastaveny dle požadavků popsaných v tomto dokumentu.</w:t>
      </w:r>
    </w:p>
    <w:p w14:paraId="4BE0E5F7" w14:textId="77777777" w:rsidR="00A7067D" w:rsidRDefault="00D65BC6">
      <w:pPr>
        <w:pStyle w:val="Style9"/>
        <w:shd w:val="clear" w:color="auto" w:fill="auto"/>
        <w:spacing w:before="0" w:after="143" w:line="224" w:lineRule="exact"/>
        <w:ind w:left="760"/>
        <w:jc w:val="left"/>
      </w:pPr>
      <w:r>
        <w:t>Tvrzení deklarovaná tímto dokumentem byla získána na základě:</w:t>
      </w:r>
    </w:p>
    <w:p w14:paraId="0DE3226E" w14:textId="77777777" w:rsidR="00A7067D" w:rsidRDefault="00D65BC6">
      <w:pPr>
        <w:pStyle w:val="Style15"/>
        <w:shd w:val="clear" w:color="auto" w:fill="auto"/>
        <w:spacing w:after="177" w:line="245" w:lineRule="exact"/>
        <w:ind w:left="760"/>
      </w:pPr>
      <w:r>
        <w:rPr>
          <w:rStyle w:val="CharStyle25"/>
        </w:rPr>
        <w:t xml:space="preserve">EU </w:t>
      </w:r>
      <w:r>
        <w:rPr>
          <w:rStyle w:val="CharStyle26"/>
          <w:b/>
          <w:bCs/>
        </w:rPr>
        <w:t>Provedených zkoušek VM</w:t>
      </w:r>
      <w:r>
        <w:rPr>
          <w:rStyle w:val="CharStyle27"/>
        </w:rPr>
        <w:t xml:space="preserve"> </w:t>
      </w:r>
      <w:r>
        <w:t xml:space="preserve">dle dokumentu </w:t>
      </w:r>
      <w:r>
        <w:t xml:space="preserve">Metodika ověřování souladu s požadavky </w:t>
      </w:r>
      <w:proofErr w:type="spellStart"/>
      <w:r>
        <w:t>RfG</w:t>
      </w:r>
      <w:proofErr w:type="spellEnd"/>
      <w:r>
        <w:t xml:space="preserve"> pro výrobní moduly typu A2</w:t>
      </w:r>
    </w:p>
    <w:p w14:paraId="5DAC8670" w14:textId="77777777" w:rsidR="00A7067D" w:rsidRDefault="00D65BC6">
      <w:pPr>
        <w:pStyle w:val="Style9"/>
        <w:shd w:val="clear" w:color="auto" w:fill="auto"/>
        <w:tabs>
          <w:tab w:val="left" w:leader="underscore" w:pos="9079"/>
        </w:tabs>
        <w:spacing w:before="0" w:after="13" w:line="224" w:lineRule="exact"/>
        <w:ind w:left="760" w:firstLine="0"/>
      </w:pPr>
      <w:r>
        <w:t>Zkoušku provedl:</w:t>
      </w:r>
      <w:r>
        <w:tab/>
      </w:r>
    </w:p>
    <w:p w14:paraId="3EAE6488" w14:textId="77777777" w:rsidR="00A7067D" w:rsidRDefault="00D65BC6">
      <w:pPr>
        <w:pStyle w:val="Style9"/>
        <w:shd w:val="clear" w:color="auto" w:fill="auto"/>
        <w:tabs>
          <w:tab w:val="left" w:leader="underscore" w:pos="9079"/>
        </w:tabs>
        <w:spacing w:before="0" w:after="0" w:line="408" w:lineRule="exact"/>
        <w:ind w:left="760" w:firstLine="0"/>
      </w:pPr>
      <w:r>
        <w:t>Datum provedení zkoušky:</w:t>
      </w:r>
      <w:r>
        <w:tab/>
      </w:r>
    </w:p>
    <w:p w14:paraId="43539A2F" w14:textId="77777777" w:rsidR="00A7067D" w:rsidRDefault="00D65BC6">
      <w:pPr>
        <w:pStyle w:val="Style9"/>
        <w:shd w:val="clear" w:color="auto" w:fill="auto"/>
        <w:tabs>
          <w:tab w:val="left" w:leader="underscore" w:pos="9079"/>
        </w:tabs>
        <w:spacing w:before="0" w:after="547" w:line="408" w:lineRule="exact"/>
        <w:ind w:left="760" w:firstLine="0"/>
      </w:pPr>
      <w:r>
        <w:t>Podpis/razítko:</w:t>
      </w:r>
      <w:r>
        <w:tab/>
      </w:r>
    </w:p>
    <w:p w14:paraId="794EE2AC" w14:textId="77777777" w:rsidR="00A7067D" w:rsidRDefault="00D65BC6">
      <w:pPr>
        <w:pStyle w:val="Style17"/>
        <w:shd w:val="clear" w:color="auto" w:fill="auto"/>
        <w:spacing w:before="0" w:after="13" w:line="224" w:lineRule="exact"/>
        <w:ind w:left="760"/>
        <w:jc w:val="left"/>
      </w:pPr>
      <w:r>
        <w:rPr>
          <w:rStyle w:val="CharStyle24"/>
        </w:rPr>
        <w:t xml:space="preserve">□ </w:t>
      </w:r>
      <w:r>
        <w:t>Přiloženého certifikátu VM získaného výrobcem VM</w:t>
      </w:r>
    </w:p>
    <w:p w14:paraId="625AEC60" w14:textId="77777777" w:rsidR="00A7067D" w:rsidRDefault="00D65BC6">
      <w:pPr>
        <w:pStyle w:val="Style28"/>
        <w:shd w:val="clear" w:color="auto" w:fill="auto"/>
        <w:tabs>
          <w:tab w:val="left" w:leader="underscore" w:pos="9079"/>
        </w:tabs>
        <w:spacing w:before="0"/>
        <w:ind w:left="760"/>
      </w:pPr>
      <w:r>
        <w:t>Certifikát byl vydán společností:</w:t>
      </w:r>
      <w:r>
        <w:rPr>
          <w:rStyle w:val="CharStyle30"/>
        </w:rPr>
        <w:tab/>
      </w:r>
    </w:p>
    <w:p w14:paraId="552AFD82" w14:textId="77777777" w:rsidR="00A7067D" w:rsidRDefault="00D65BC6">
      <w:pPr>
        <w:pStyle w:val="Style28"/>
        <w:shd w:val="clear" w:color="auto" w:fill="auto"/>
        <w:tabs>
          <w:tab w:val="left" w:leader="underscore" w:pos="9079"/>
        </w:tabs>
        <w:spacing w:before="0" w:after="477"/>
        <w:ind w:left="760"/>
      </w:pPr>
      <w:r>
        <w:t>Datum vydání certifikátu:</w:t>
      </w:r>
      <w:r>
        <w:rPr>
          <w:rStyle w:val="CharStyle30"/>
        </w:rPr>
        <w:tab/>
      </w:r>
    </w:p>
    <w:p w14:paraId="6D4C4DDF" w14:textId="77777777" w:rsidR="00A7067D" w:rsidRDefault="00D65BC6">
      <w:pPr>
        <w:pStyle w:val="Style17"/>
        <w:shd w:val="clear" w:color="auto" w:fill="auto"/>
        <w:spacing w:before="0" w:after="230" w:line="312" w:lineRule="exact"/>
        <w:ind w:left="760"/>
        <w:jc w:val="left"/>
      </w:pPr>
      <w:r>
        <w:rPr>
          <w:rStyle w:val="CharStyle31"/>
        </w:rPr>
        <w:t xml:space="preserve">EU </w:t>
      </w:r>
      <w:r>
        <w:t>Výjimkou Energetického regulačního úřadu</w:t>
      </w:r>
    </w:p>
    <w:p w14:paraId="23546890" w14:textId="77777777" w:rsidR="00A7067D" w:rsidRDefault="00D65BC6">
      <w:pPr>
        <w:pStyle w:val="Style28"/>
        <w:shd w:val="clear" w:color="auto" w:fill="auto"/>
        <w:tabs>
          <w:tab w:val="left" w:leader="underscore" w:pos="9079"/>
        </w:tabs>
        <w:spacing w:before="0" w:after="143" w:line="224" w:lineRule="exact"/>
        <w:ind w:left="760"/>
      </w:pPr>
      <w:r>
        <w:t>Datum vydání výjimky:</w:t>
      </w:r>
      <w:r>
        <w:rPr>
          <w:rStyle w:val="CharStyle30"/>
        </w:rPr>
        <w:tab/>
      </w:r>
    </w:p>
    <w:p w14:paraId="783C1C39" w14:textId="77777777" w:rsidR="00A7067D" w:rsidRDefault="00D65BC6">
      <w:pPr>
        <w:pStyle w:val="Style28"/>
        <w:shd w:val="clear" w:color="auto" w:fill="auto"/>
        <w:spacing w:before="0" w:after="916" w:line="245" w:lineRule="exact"/>
        <w:jc w:val="left"/>
      </w:pPr>
      <w:r>
        <w:t>PDS si vymiňuje právo, že v případě potřeby provozovatel/majitel výrobny doloží doklady, na základě kterých získal toto prohlášení.</w:t>
      </w:r>
    </w:p>
    <w:p w14:paraId="3513B496" w14:textId="77777777" w:rsidR="00A7067D" w:rsidRDefault="00D65BC6">
      <w:pPr>
        <w:pStyle w:val="Style13"/>
        <w:shd w:val="clear" w:color="auto" w:fill="auto"/>
        <w:spacing w:before="0"/>
      </w:pPr>
      <w:r>
        <w:pict w14:anchorId="402A4D7B">
          <v:shape id="_x0000_s2051" type="#_x0000_t202" style="position:absolute;margin-left:250.3pt;margin-top:-1.5pt;width:29.3pt;height:12.9pt;z-index:-125829375;mso-wrap-distance-left:165.1pt;mso-wrap-distance-right:5pt;mso-wrap-distance-bottom:75.6pt;mso-position-horizontal-relative:margin" filled="f" stroked="f">
            <v:textbox style="mso-fit-shape-to-text:t" inset="0,0,0,0">
              <w:txbxContent>
                <w:p w14:paraId="58123293" w14:textId="77777777" w:rsidR="00A7067D" w:rsidRDefault="00D65BC6">
                  <w:pPr>
                    <w:pStyle w:val="Style13"/>
                    <w:shd w:val="clear" w:color="auto" w:fill="auto"/>
                    <w:spacing w:before="0" w:after="0"/>
                  </w:pPr>
                  <w:r>
                    <w:rPr>
                      <w:rStyle w:val="CharStyle14Exact"/>
                    </w:rPr>
                    <w:t>Podpis</w:t>
                  </w:r>
                </w:p>
              </w:txbxContent>
            </v:textbox>
            <w10:wrap type="square" side="left" anchorx="margin"/>
          </v:shape>
        </w:pict>
      </w:r>
      <w:r>
        <w:pict w14:anchorId="31EB4C9D">
          <v:shape id="_x0000_s2050" type="#_x0000_t202" style="position:absolute;margin-left:250.3pt;margin-top:54.2pt;width:29.3pt;height:12.9pt;z-index:-125829374;mso-wrap-distance-left:165.1pt;mso-wrap-distance-top:54.2pt;mso-wrap-distance-right:5pt;mso-wrap-distance-bottom:19.9pt;mso-position-horizontal-relative:margin" filled="f" stroked="f">
            <v:textbox style="mso-fit-shape-to-text:t" inset="0,0,0,0">
              <w:txbxContent>
                <w:p w14:paraId="0669A610" w14:textId="77777777" w:rsidR="00A7067D" w:rsidRDefault="00D65BC6">
                  <w:pPr>
                    <w:pStyle w:val="Style13"/>
                    <w:shd w:val="clear" w:color="auto" w:fill="auto"/>
                    <w:spacing w:before="0" w:after="0"/>
                  </w:pPr>
                  <w:r>
                    <w:rPr>
                      <w:rStyle w:val="CharStyle14Exact"/>
                    </w:rPr>
                    <w:t>Podpis</w:t>
                  </w:r>
                </w:p>
              </w:txbxContent>
            </v:textbox>
            <w10:wrap type="square" side="left" anchorx="margin"/>
          </v:shape>
        </w:pict>
      </w:r>
      <w:r>
        <w:t>Zástupce zhotovitele</w:t>
      </w:r>
    </w:p>
    <w:p w14:paraId="5003BE53" w14:textId="77777777" w:rsidR="00A7067D" w:rsidRDefault="00D65BC6">
      <w:pPr>
        <w:pStyle w:val="Style13"/>
        <w:shd w:val="clear" w:color="auto" w:fill="auto"/>
        <w:spacing w:before="0" w:after="0"/>
      </w:pPr>
      <w:r>
        <w:t>Žadatel</w:t>
      </w:r>
    </w:p>
    <w:sectPr w:rsidR="00A7067D">
      <w:type w:val="continuous"/>
      <w:pgSz w:w="11909" w:h="16838"/>
      <w:pgMar w:top="1385" w:right="1397" w:bottom="1395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6531" w14:textId="77777777" w:rsidR="00D65BC6" w:rsidRDefault="00D65BC6">
      <w:r>
        <w:separator/>
      </w:r>
    </w:p>
  </w:endnote>
  <w:endnote w:type="continuationSeparator" w:id="0">
    <w:p w14:paraId="6992E3C6" w14:textId="77777777" w:rsidR="00D65BC6" w:rsidRDefault="00D6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111C" w14:textId="77777777" w:rsidR="00A7067D" w:rsidRDefault="00D65BC6">
    <w:pPr>
      <w:rPr>
        <w:sz w:val="2"/>
        <w:szCs w:val="2"/>
      </w:rPr>
    </w:pPr>
    <w:r>
      <w:pict w14:anchorId="69D4F12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2.85pt;margin-top:786.7pt;width:40.55pt;height:5.3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33ABBF66" w14:textId="77777777" w:rsidR="00A7067D" w:rsidRDefault="00D65BC6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6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24E6" w14:textId="77777777" w:rsidR="00A7067D" w:rsidRDefault="00A7067D"/>
  </w:footnote>
  <w:footnote w:type="continuationSeparator" w:id="0">
    <w:p w14:paraId="617E39B5" w14:textId="77777777" w:rsidR="00A7067D" w:rsidRDefault="00A70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1B6" w14:textId="77777777" w:rsidR="00A7067D" w:rsidRDefault="00D65BC6">
    <w:pPr>
      <w:rPr>
        <w:sz w:val="2"/>
        <w:szCs w:val="2"/>
      </w:rPr>
    </w:pPr>
    <w:r>
      <w:pict w14:anchorId="1B60C0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.45pt;margin-top:40.05pt;width:104.9pt;height:12.7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1BF7C352" w14:textId="77777777" w:rsidR="00A7067D" w:rsidRDefault="00D65BC6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</w:rPr>
                  <w:t>Dokument nesynchronního výrobního</w:t>
                </w:r>
              </w:p>
              <w:p w14:paraId="0A907454" w14:textId="044DA5E6" w:rsidR="00A7067D" w:rsidRDefault="00D65BC6" w:rsidP="00D65BC6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</w:rPr>
                  <w:t>modulu A2</w:t>
                </w:r>
                <w:r>
                  <w:rPr>
                    <w:rStyle w:val="CharStyle5"/>
                  </w:rPr>
                  <w:t>H-ENERGY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C0A02"/>
    <w:multiLevelType w:val="multilevel"/>
    <w:tmpl w:val="32ECE6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3746B3"/>
    <w:multiLevelType w:val="multilevel"/>
    <w:tmpl w:val="02025168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9B00FA"/>
    <w:multiLevelType w:val="multilevel"/>
    <w:tmpl w:val="271EEC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5463332">
    <w:abstractNumId w:val="0"/>
  </w:num>
  <w:num w:numId="2" w16cid:durableId="529538590">
    <w:abstractNumId w:val="2"/>
  </w:num>
  <w:num w:numId="3" w16cid:durableId="155138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7D"/>
    <w:rsid w:val="001B2005"/>
    <w:rsid w:val="00A7067D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630FC3A"/>
  <w15:docId w15:val="{1B2DB7A9-4CDD-4D72-ACE5-234A7E8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CharStyle26">
    <w:name w:val="Char Style 26"/>
    <w:basedOn w:val="CharStyle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7">
    <w:name w:val="Char Style 2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31">
    <w:name w:val="Char Style 31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51" w:lineRule="exact"/>
    </w:pPr>
    <w:rPr>
      <w:rFonts w:ascii="Arial" w:eastAsia="Arial" w:hAnsi="Arial" w:cs="Arial"/>
      <w:sz w:val="36"/>
      <w:szCs w:val="3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60" w:after="160" w:line="245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32"/>
    <w:pPr>
      <w:shd w:val="clear" w:color="auto" w:fill="FFFFFF"/>
      <w:spacing w:before="880" w:after="8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160" w:line="274" w:lineRule="exact"/>
      <w:ind w:hanging="76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160" w:line="245" w:lineRule="exact"/>
      <w:ind w:hanging="760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60" w:line="40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65B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BC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65B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B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4539</Characters>
  <Application>Microsoft Office Word</Application>
  <DocSecurity>0</DocSecurity>
  <Lines>37</Lines>
  <Paragraphs>10</Paragraphs>
  <ScaleCrop>false</ScaleCrop>
  <Company>MVV Energie CZ, a.s.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AH-Energy, s.r.o.</dc:creator>
  <cp:keywords/>
  <cp:lastModifiedBy>Volek Vlastimil</cp:lastModifiedBy>
  <cp:revision>2</cp:revision>
  <dcterms:created xsi:type="dcterms:W3CDTF">2024-09-09T06:54:00Z</dcterms:created>
  <dcterms:modified xsi:type="dcterms:W3CDTF">2024-09-09T06:55:00Z</dcterms:modified>
</cp:coreProperties>
</file>